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ED" w:rsidRDefault="001A77ED" w:rsidP="001A77ED">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 uno de agosto del año 2017 dos mil diecisiete. . . . </w:t>
      </w:r>
    </w:p>
    <w:p w:rsidR="001A77ED" w:rsidRDefault="001A77ED" w:rsidP="001A77ED">
      <w:pPr>
        <w:rPr>
          <w:rFonts w:ascii="Calibri" w:hAnsi="Calibri" w:cs="Calibri"/>
          <w:color w:val="767171" w:themeColor="background2" w:themeShade="80"/>
          <w:sz w:val="26"/>
          <w:szCs w:val="26"/>
        </w:rPr>
      </w:pPr>
    </w:p>
    <w:p w:rsidR="001A77ED" w:rsidRDefault="001A77ED" w:rsidP="001A77ED">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0336/2doJAM/2017-JN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1A77ED" w:rsidRDefault="001A77ED" w:rsidP="001A77ED">
      <w:pPr>
        <w:pStyle w:val="Textoindependiente"/>
        <w:rPr>
          <w:rFonts w:ascii="Calibri" w:hAnsi="Calibri" w:cs="Calibri"/>
          <w:color w:val="767171" w:themeColor="background2" w:themeShade="80"/>
          <w:sz w:val="26"/>
          <w:szCs w:val="26"/>
        </w:rPr>
      </w:pPr>
    </w:p>
    <w:p w:rsidR="001A77ED" w:rsidRDefault="001A77ED" w:rsidP="001A77ED">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1A77ED" w:rsidRDefault="001A77ED" w:rsidP="001A77ED">
      <w:pPr>
        <w:pStyle w:val="Textoindependiente"/>
        <w:ind w:firstLine="708"/>
        <w:jc w:val="center"/>
        <w:rPr>
          <w:rFonts w:ascii="Calibri" w:hAnsi="Calibri" w:cs="Calibri"/>
          <w:b/>
          <w:bCs/>
          <w:color w:val="767171" w:themeColor="background2" w:themeShade="80"/>
          <w:sz w:val="26"/>
          <w:szCs w:val="26"/>
        </w:rPr>
      </w:pPr>
    </w:p>
    <w:p w:rsidR="001A77ED" w:rsidRDefault="001A77ED" w:rsidP="001A77ED">
      <w:pPr>
        <w:pStyle w:val="Textoindependiente"/>
        <w:rPr>
          <w:rFonts w:ascii="Calibri" w:hAnsi="Calibri" w:cs="Calibri"/>
          <w:b/>
          <w:bCs/>
          <w:color w:val="767171" w:themeColor="background2" w:themeShade="80"/>
          <w:sz w:val="26"/>
          <w:szCs w:val="26"/>
        </w:rPr>
      </w:pPr>
    </w:p>
    <w:p w:rsidR="001A77ED" w:rsidRDefault="001A77ED" w:rsidP="001A77ED">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25 veinticinco de enero del año 2017 dos mil diecisiete, sin que de las constancias de la presente causa administrativa se desprenda lo contrario. . . . . . . . . . . . . . . . . . . . . . . . . . . . . . . . . . . </w:t>
      </w:r>
    </w:p>
    <w:p w:rsidR="001A77ED" w:rsidRDefault="001A77ED" w:rsidP="001A77ED">
      <w:pPr>
        <w:jc w:val="both"/>
        <w:rPr>
          <w:rFonts w:ascii="Calibri" w:hAnsi="Calibri" w:cs="Calibri"/>
          <w:b/>
          <w:i/>
          <w:iCs/>
          <w:color w:val="767171" w:themeColor="background2" w:themeShade="80"/>
          <w:sz w:val="26"/>
          <w:szCs w:val="26"/>
          <w:lang w:val="es-MX"/>
        </w:rPr>
      </w:pP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La existencia del acto impugnado, se encuentra documentada en autos con el original del acta con folio  número 358533 (tres-cinco-ocho-cinco-</w:t>
      </w:r>
    </w:p>
    <w:p w:rsidR="001A77ED" w:rsidRDefault="001A77ED" w:rsidP="001A77ED">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0336/2doJAM/2017-JN</w:t>
      </w:r>
    </w:p>
    <w:p w:rsidR="001A77ED" w:rsidRDefault="001A77ED" w:rsidP="001A77ED">
      <w:pPr>
        <w:jc w:val="right"/>
        <w:rPr>
          <w:rFonts w:ascii="Calibri" w:hAnsi="Calibri" w:cs="Calibri"/>
          <w:b/>
          <w:color w:val="767171" w:themeColor="background2" w:themeShade="80"/>
          <w:sz w:val="26"/>
          <w:szCs w:val="26"/>
        </w:rPr>
      </w:pPr>
    </w:p>
    <w:p w:rsidR="001A77ED" w:rsidRDefault="001A77ED" w:rsidP="001A77ED">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tres-tres), de fecha 25 veinticinco de enero del año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1A77ED" w:rsidRDefault="001A77ED" w:rsidP="001A77ED">
      <w:pPr>
        <w:jc w:val="both"/>
        <w:rPr>
          <w:rFonts w:ascii="Calibri" w:hAnsi="Calibri" w:cs="Calibri"/>
          <w:color w:val="767171" w:themeColor="background2" w:themeShade="80"/>
          <w:sz w:val="26"/>
          <w:szCs w:val="26"/>
        </w:rPr>
      </w:pP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1A77ED" w:rsidRDefault="001A77ED" w:rsidP="001A77ED">
      <w:pPr>
        <w:jc w:val="both"/>
        <w:rPr>
          <w:rFonts w:ascii="Calibri" w:hAnsi="Calibri" w:cs="Calibri"/>
          <w:b/>
          <w:bCs/>
          <w:i/>
          <w:iCs/>
          <w:color w:val="767171" w:themeColor="background2" w:themeShade="80"/>
          <w:sz w:val="26"/>
          <w:szCs w:val="26"/>
        </w:rPr>
      </w:pP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1A77ED" w:rsidRDefault="001A77ED" w:rsidP="001A77ED">
      <w:pPr>
        <w:rPr>
          <w:rFonts w:ascii="Calibri" w:hAnsi="Calibri" w:cs="Calibri"/>
          <w:b/>
          <w:color w:val="767171" w:themeColor="background2" w:themeShade="80"/>
          <w:sz w:val="26"/>
          <w:szCs w:val="26"/>
        </w:rPr>
      </w:pP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1A77ED" w:rsidRDefault="001A77ED" w:rsidP="001A77ED">
      <w:pPr>
        <w:ind w:firstLine="708"/>
        <w:jc w:val="both"/>
        <w:rPr>
          <w:rFonts w:ascii="Calibri" w:hAnsi="Calibri" w:cs="Calibri"/>
          <w:color w:val="767171" w:themeColor="background2" w:themeShade="80"/>
          <w:sz w:val="26"/>
          <w:szCs w:val="26"/>
        </w:rPr>
      </w:pP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5 cinco 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1A77ED" w:rsidRDefault="001A77ED" w:rsidP="001A77ED">
      <w:pPr>
        <w:jc w:val="both"/>
        <w:rPr>
          <w:rFonts w:ascii="Calibri" w:hAnsi="Calibri" w:cs="Calibri"/>
          <w:b/>
          <w:bCs/>
          <w:i/>
          <w:iCs/>
          <w:color w:val="767171" w:themeColor="background2" w:themeShade="80"/>
          <w:sz w:val="26"/>
          <w:szCs w:val="26"/>
        </w:rPr>
      </w:pPr>
    </w:p>
    <w:p w:rsidR="001A77ED" w:rsidRDefault="001A77ED" w:rsidP="001A77ED">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1A77ED" w:rsidRDefault="001A77ED" w:rsidP="001A77ED">
      <w:pPr>
        <w:jc w:val="both"/>
        <w:rPr>
          <w:rFonts w:ascii="Calibri" w:hAnsi="Calibri" w:cs="Calibri"/>
          <w:b/>
          <w:bCs/>
          <w:i/>
          <w:iCs/>
          <w:color w:val="767171" w:themeColor="background2" w:themeShade="80"/>
          <w:sz w:val="26"/>
          <w:szCs w:val="26"/>
        </w:rPr>
      </w:pPr>
    </w:p>
    <w:p w:rsidR="001A77ED" w:rsidRDefault="001A77ED" w:rsidP="001A77ED">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w:t>
      </w:r>
      <w:r>
        <w:rPr>
          <w:rFonts w:ascii="Calibri" w:hAnsi="Calibri" w:cs="Calibri"/>
          <w:bCs/>
          <w:iCs/>
          <w:color w:val="767171" w:themeColor="background2" w:themeShade="80"/>
          <w:sz w:val="26"/>
          <w:szCs w:val="26"/>
        </w:rPr>
        <w:lastRenderedPageBreak/>
        <w:t xml:space="preserve">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w:t>
      </w:r>
    </w:p>
    <w:p w:rsidR="001A77ED" w:rsidRDefault="001A77ED" w:rsidP="001A77ED">
      <w:pPr>
        <w:pStyle w:val="Sangradetextonormal"/>
        <w:ind w:left="0" w:firstLine="708"/>
        <w:jc w:val="both"/>
        <w:rPr>
          <w:rFonts w:ascii="Calibri" w:hAnsi="Calibri" w:cs="Calibri"/>
          <w:bCs/>
          <w:iCs/>
          <w:color w:val="767171" w:themeColor="background2" w:themeShade="80"/>
          <w:sz w:val="20"/>
          <w:szCs w:val="20"/>
        </w:rPr>
      </w:pPr>
    </w:p>
    <w:p w:rsidR="001A77ED" w:rsidRDefault="001A77ED" w:rsidP="001A77ED">
      <w:pPr>
        <w:pStyle w:val="Textoindependiente"/>
        <w:ind w:firstLine="708"/>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286846161 (dos-ocho-seis-ocho-cuatro-seis-uno-seis-uno) del autobús marca Mercedes Benz, modelo 2003 dos mil tres con placas número 742193-D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17 diecisiete)-, por lo que no queda duda alguna, que la persona moral denominada </w:t>
      </w:r>
      <w:r>
        <w:rPr>
          <w:rFonts w:ascii="Calibri" w:hAnsi="Calibri" w:cs="Calibri"/>
          <w:i/>
          <w:color w:val="767171" w:themeColor="background2" w:themeShade="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 . . . . . . . . . . . . . . . . . . . . . </w:t>
      </w:r>
    </w:p>
    <w:p w:rsidR="001A77ED" w:rsidRDefault="001A77ED" w:rsidP="001A77ED">
      <w:pPr>
        <w:pStyle w:val="Sangradetextonormal"/>
        <w:ind w:left="0" w:firstLine="708"/>
        <w:jc w:val="both"/>
        <w:rPr>
          <w:rFonts w:ascii="Calibri" w:hAnsi="Calibri" w:cs="Calibri"/>
          <w:bCs/>
          <w:iCs/>
          <w:color w:val="7F7F7F" w:themeColor="text1" w:themeTint="80"/>
          <w:sz w:val="26"/>
          <w:szCs w:val="26"/>
        </w:rPr>
      </w:pPr>
    </w:p>
    <w:p w:rsidR="001A77ED" w:rsidRDefault="001A77ED" w:rsidP="001A77ED">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vigésimo séptimo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w:t>
      </w:r>
    </w:p>
    <w:p w:rsidR="001A77ED" w:rsidRDefault="001A77ED" w:rsidP="001A77ED">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0336/2doJAM/2017-JN</w:t>
      </w:r>
    </w:p>
    <w:p w:rsidR="001A77ED" w:rsidRDefault="001A77ED" w:rsidP="001A77ED">
      <w:pPr>
        <w:pStyle w:val="Sangradetextonormal"/>
        <w:ind w:left="0"/>
        <w:jc w:val="both"/>
        <w:rPr>
          <w:rFonts w:ascii="Calibri" w:hAnsi="Calibri" w:cs="Calibri"/>
          <w:bCs/>
          <w:iCs/>
          <w:color w:val="7F7F7F" w:themeColor="text1" w:themeTint="80"/>
          <w:sz w:val="26"/>
          <w:szCs w:val="26"/>
        </w:rPr>
      </w:pPr>
    </w:p>
    <w:p w:rsidR="001A77ED" w:rsidRDefault="001A77ED" w:rsidP="001A77ED">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F7F7F" w:themeColor="text1" w:themeTint="80"/>
          <w:sz w:val="26"/>
          <w:szCs w:val="26"/>
        </w:rPr>
        <w:t>notificación</w:t>
      </w:r>
      <w:proofErr w:type="gramEnd"/>
      <w:r>
        <w:rPr>
          <w:rFonts w:ascii="Calibri" w:hAnsi="Calibri" w:cs="Calibri"/>
          <w:bCs/>
          <w:iCs/>
          <w:color w:val="7F7F7F" w:themeColor="text1" w:themeTint="80"/>
          <w:sz w:val="26"/>
          <w:szCs w:val="26"/>
        </w:rPr>
        <w:t xml:space="preserve">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 . . . . . . . . . . . . . . . . .</w:t>
      </w:r>
    </w:p>
    <w:p w:rsidR="001A77ED" w:rsidRDefault="001A77ED" w:rsidP="001A77ED">
      <w:pPr>
        <w:pStyle w:val="Sangradetextonormal"/>
        <w:ind w:left="0" w:firstLine="708"/>
        <w:jc w:val="both"/>
        <w:rPr>
          <w:rFonts w:ascii="Calibri" w:hAnsi="Calibri" w:cs="Calibri"/>
          <w:bCs/>
          <w:iCs/>
          <w:color w:val="7F7F7F" w:themeColor="text1" w:themeTint="80"/>
          <w:sz w:val="26"/>
          <w:szCs w:val="26"/>
        </w:rPr>
      </w:pPr>
    </w:p>
    <w:p w:rsidR="001A77ED" w:rsidRDefault="001A77ED" w:rsidP="001A77ED">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1A77ED" w:rsidRDefault="001A77ED" w:rsidP="001A77ED">
      <w:pPr>
        <w:pStyle w:val="Sangradetextonormal"/>
        <w:ind w:left="0" w:firstLine="708"/>
        <w:jc w:val="both"/>
        <w:rPr>
          <w:rFonts w:ascii="Calibri" w:hAnsi="Calibri" w:cs="Calibri"/>
          <w:b/>
          <w:bCs/>
          <w:i/>
          <w:iCs/>
          <w:color w:val="767171" w:themeColor="background2" w:themeShade="80"/>
          <w:sz w:val="26"/>
          <w:szCs w:val="26"/>
        </w:rPr>
      </w:pPr>
    </w:p>
    <w:p w:rsidR="001A77ED" w:rsidRDefault="001A77ED" w:rsidP="001A77ED">
      <w:pPr>
        <w:pStyle w:val="Sangradetextonormal"/>
        <w:ind w:left="0"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A77ED" w:rsidRDefault="001A77ED" w:rsidP="001A77ED">
      <w:pPr>
        <w:ind w:firstLine="708"/>
        <w:jc w:val="both"/>
        <w:rPr>
          <w:rFonts w:ascii="Calibri" w:hAnsi="Calibri" w:cs="Calibri"/>
          <w:color w:val="767171" w:themeColor="background2" w:themeShade="80"/>
          <w:sz w:val="26"/>
          <w:szCs w:val="26"/>
        </w:rPr>
      </w:pPr>
    </w:p>
    <w:p w:rsidR="001A77ED" w:rsidRDefault="001A77ED" w:rsidP="001A77ED">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25 veinticinco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358533 (tres-cinco-ocho-cinco-tres-tres), en la que señaló como concepto de la infracción: </w:t>
      </w:r>
      <w:r>
        <w:rPr>
          <w:rFonts w:ascii="Calibri" w:hAnsi="Calibri" w:cs="Calibri"/>
          <w:i/>
          <w:color w:val="767171" w:themeColor="background2" w:themeShade="80"/>
          <w:sz w:val="26"/>
          <w:szCs w:val="26"/>
        </w:rPr>
        <w:t xml:space="preserve">“Por no cumplir con horarios, rutas, itinerarios y frecuencias autorizadas en la prestación del servicio. (Al momento de realizar los primeros despachos me percato que el autobús LE 921 de la ruta A 65 Ramal sacando su primer despacho a las 06:16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debiendo ser a las 05:38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sacando tarde 38 minutos en su primera vuelta con usuarios en fila”,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 </w:t>
      </w:r>
    </w:p>
    <w:p w:rsidR="001A77ED" w:rsidRDefault="001A77ED" w:rsidP="001A77ED">
      <w:pPr>
        <w:ind w:firstLine="708"/>
        <w:jc w:val="both"/>
        <w:rPr>
          <w:rFonts w:ascii="Calibri" w:hAnsi="Calibri" w:cs="Calibri"/>
          <w:iCs/>
          <w:color w:val="767171" w:themeColor="background2" w:themeShade="80"/>
          <w:sz w:val="26"/>
          <w:szCs w:val="26"/>
        </w:rPr>
      </w:pPr>
    </w:p>
    <w:p w:rsidR="001A77ED" w:rsidRDefault="001A77ED" w:rsidP="001A77ED">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lang w:val="es-ES"/>
        </w:rPr>
        <w:t xml:space="preserve">            </w:t>
      </w:r>
      <w:r>
        <w:rPr>
          <w:rFonts w:ascii="Calibri" w:hAnsi="Calibri" w:cs="Calibri"/>
          <w:color w:val="767171" w:themeColor="background2" w:themeShade="80"/>
          <w:sz w:val="26"/>
          <w:szCs w:val="26"/>
        </w:rPr>
        <w:t xml:space="preserve">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1A77ED" w:rsidRDefault="001A77ED" w:rsidP="001A77ED">
      <w:pPr>
        <w:pStyle w:val="Textoindependiente"/>
        <w:tabs>
          <w:tab w:val="left" w:pos="3594"/>
        </w:tabs>
        <w:rPr>
          <w:rFonts w:ascii="Calibri" w:hAnsi="Calibri" w:cs="Calibri"/>
          <w:iCs/>
          <w:color w:val="767171" w:themeColor="background2" w:themeShade="80"/>
          <w:sz w:val="26"/>
          <w:szCs w:val="26"/>
        </w:rPr>
      </w:pPr>
    </w:p>
    <w:p w:rsidR="001A77ED" w:rsidRDefault="001A77ED" w:rsidP="001A77ED">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1A77ED" w:rsidRDefault="001A77ED" w:rsidP="001A77ED">
      <w:pPr>
        <w:pStyle w:val="Textoindependiente"/>
        <w:tabs>
          <w:tab w:val="left" w:pos="3594"/>
        </w:tabs>
        <w:rPr>
          <w:rFonts w:ascii="Calibri" w:hAnsi="Calibri" w:cs="Calibri"/>
          <w:iCs/>
          <w:color w:val="767171" w:themeColor="background2" w:themeShade="80"/>
          <w:sz w:val="26"/>
          <w:szCs w:val="26"/>
        </w:rPr>
      </w:pPr>
    </w:p>
    <w:p w:rsidR="001A77ED" w:rsidRDefault="001A77ED" w:rsidP="001A77ED">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358533 (tres-cinco-ocho-cinco-tres-tres), de fecha 25 veinticinco de enero del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w:t>
      </w:r>
    </w:p>
    <w:p w:rsidR="001A77ED" w:rsidRDefault="001A77ED" w:rsidP="001A77ED">
      <w:pPr>
        <w:jc w:val="both"/>
        <w:rPr>
          <w:color w:val="767171" w:themeColor="background2" w:themeShade="80"/>
          <w:sz w:val="22"/>
        </w:rPr>
      </w:pPr>
    </w:p>
    <w:p w:rsidR="001A77ED" w:rsidRDefault="001A77ED" w:rsidP="001A77ED">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w:t>
      </w:r>
      <w:r>
        <w:rPr>
          <w:rFonts w:ascii="Calibri" w:hAnsi="Calibri"/>
          <w:color w:val="767171" w:themeColor="background2" w:themeShade="80"/>
          <w:sz w:val="26"/>
        </w:rPr>
        <w:lastRenderedPageBreak/>
        <w:t xml:space="preserve">conceptos de impugnación de su escrito de demanda; sin necesidad de transcribirlo en su totalidad, sirviendo para ello el criterio sostenido por el Tribunal Colegiado de Circuito, mencionado en la siguiente Jurisprudencia: </w:t>
      </w:r>
    </w:p>
    <w:p w:rsidR="001A77ED" w:rsidRDefault="001A77ED" w:rsidP="001A77ED">
      <w:pPr>
        <w:ind w:firstLine="708"/>
        <w:jc w:val="both"/>
        <w:rPr>
          <w:color w:val="767171" w:themeColor="background2" w:themeShade="80"/>
          <w:lang w:val="es-MX"/>
        </w:rPr>
      </w:pPr>
    </w:p>
    <w:p w:rsidR="001A77ED" w:rsidRDefault="001A77ED" w:rsidP="001A77ED">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1A77ED" w:rsidRDefault="001A77ED" w:rsidP="001A77ED">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cuales son los horarios que le correspondía ejecutar al operador para poder determinar si los incumplió o no, cuales son los horarios, rutas e itinerarios que corresponde realizar a cada ruta, empresa y operador para determinar si se contravino lo señalado en el artículo 206 del Reglamento de Transporte citado como infringido. </w:t>
      </w:r>
      <w:r>
        <w:rPr>
          <w:rFonts w:ascii="Calibri" w:hAnsi="Calibri"/>
          <w:color w:val="767171" w:themeColor="background2" w:themeShade="80"/>
          <w:sz w:val="26"/>
        </w:rPr>
        <w:t xml:space="preserve">. . . . . . . . . . . . </w:t>
      </w:r>
    </w:p>
    <w:p w:rsidR="001A77ED" w:rsidRDefault="001A77ED" w:rsidP="001A77ED">
      <w:pPr>
        <w:jc w:val="both"/>
        <w:rPr>
          <w:rFonts w:ascii="Calibri" w:hAnsi="Calibri" w:cs="Calibri"/>
          <w:iCs/>
          <w:color w:val="AEAAAA" w:themeColor="background2" w:themeShade="BF"/>
          <w:sz w:val="26"/>
          <w:szCs w:val="26"/>
        </w:rPr>
      </w:pP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1A77ED" w:rsidRDefault="001A77ED" w:rsidP="001A77ED">
      <w:pPr>
        <w:jc w:val="both"/>
        <w:rPr>
          <w:rFonts w:ascii="Calibri" w:hAnsi="Calibri" w:cs="Calibri"/>
          <w:bCs/>
          <w:color w:val="AEAAAA" w:themeColor="background2" w:themeShade="BF"/>
          <w:sz w:val="26"/>
          <w:szCs w:val="26"/>
        </w:rPr>
      </w:pPr>
    </w:p>
    <w:p w:rsidR="001A77ED" w:rsidRDefault="001A77ED" w:rsidP="001A77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358533 (tres-cinco-ocho-cinco-tres-tres), de fecha 25 veinticinco de enero del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w:t>
      </w:r>
    </w:p>
    <w:p w:rsidR="001A77ED" w:rsidRDefault="001A77ED" w:rsidP="001A77ED">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lastRenderedPageBreak/>
        <w:t>Expediente número 0336/2doJAM/2017-JN</w:t>
      </w:r>
    </w:p>
    <w:p w:rsidR="001A77ED" w:rsidRDefault="001A77ED" w:rsidP="001A77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1A77ED" w:rsidRDefault="001A77ED" w:rsidP="001A77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1A77ED" w:rsidRDefault="001A77ED" w:rsidP="001A77ED">
      <w:pPr>
        <w:jc w:val="both"/>
        <w:rPr>
          <w:rFonts w:ascii="Calibri" w:hAnsi="Calibri" w:cs="Calibri"/>
          <w:bCs/>
          <w:color w:val="767171" w:themeColor="background2" w:themeShade="80"/>
          <w:sz w:val="26"/>
          <w:szCs w:val="26"/>
        </w:rPr>
      </w:pPr>
    </w:p>
    <w:p w:rsidR="001A77ED" w:rsidRDefault="001A77ED" w:rsidP="001A77ED">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“despachos” y “ramal”</w:t>
      </w:r>
      <w:r>
        <w:rPr>
          <w:rFonts w:ascii="Calibri" w:hAnsi="Calibri" w:cs="Calibri"/>
          <w:bCs/>
          <w:i/>
          <w:color w:val="767171" w:themeColor="background2" w:themeShade="80"/>
          <w:sz w:val="26"/>
          <w:szCs w:val="26"/>
        </w:rPr>
        <w:t xml:space="preserve">,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 . . </w:t>
      </w:r>
    </w:p>
    <w:p w:rsidR="001A77ED" w:rsidRDefault="001A77ED" w:rsidP="001A77ED">
      <w:pPr>
        <w:ind w:firstLine="708"/>
        <w:jc w:val="both"/>
        <w:rPr>
          <w:rFonts w:ascii="Calibri" w:hAnsi="Calibri"/>
          <w:color w:val="7F7F7F" w:themeColor="text1" w:themeTint="80"/>
          <w:sz w:val="26"/>
          <w:szCs w:val="26"/>
        </w:rPr>
      </w:pPr>
    </w:p>
    <w:p w:rsidR="001A77ED" w:rsidRDefault="001A77ED" w:rsidP="001A77ED">
      <w:pPr>
        <w:ind w:firstLine="708"/>
        <w:jc w:val="both"/>
        <w:rPr>
          <w:rFonts w:ascii="Calibri" w:hAnsi="Calibri" w:cs="Calibri"/>
          <w:bCs/>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1A77ED" w:rsidRDefault="001A77ED" w:rsidP="001A77ED">
      <w:pPr>
        <w:ind w:firstLine="708"/>
        <w:jc w:val="both"/>
        <w:rPr>
          <w:rFonts w:ascii="Calibri" w:hAnsi="Calibri" w:cs="Calibri"/>
          <w:bCs/>
          <w:color w:val="767171" w:themeColor="background2" w:themeShade="80"/>
          <w:sz w:val="26"/>
          <w:szCs w:val="26"/>
        </w:rPr>
      </w:pP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358533 (tres-cinco-ocho-cinco-tres-tres),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25 </w:t>
      </w:r>
      <w:r>
        <w:rPr>
          <w:rFonts w:ascii="Calibri" w:hAnsi="Calibri" w:cs="Calibri"/>
          <w:color w:val="767171" w:themeColor="background2" w:themeShade="80"/>
          <w:sz w:val="26"/>
          <w:szCs w:val="26"/>
        </w:rPr>
        <w:t xml:space="preserve">veinticinco de </w:t>
      </w:r>
      <w:r>
        <w:rPr>
          <w:rFonts w:ascii="Calibri" w:hAnsi="Calibri" w:cs="Calibri"/>
          <w:b/>
          <w:color w:val="767171" w:themeColor="background2" w:themeShade="80"/>
          <w:sz w:val="26"/>
          <w:szCs w:val="26"/>
        </w:rPr>
        <w:t xml:space="preserve">enero </w:t>
      </w:r>
      <w:r>
        <w:rPr>
          <w:rFonts w:ascii="Calibri" w:hAnsi="Calibri" w:cs="Calibri"/>
          <w:color w:val="767171" w:themeColor="background2" w:themeShade="80"/>
          <w:sz w:val="26"/>
          <w:szCs w:val="26"/>
        </w:rPr>
        <w:t>del</w:t>
      </w:r>
      <w:r>
        <w:rPr>
          <w:rFonts w:ascii="Calibri" w:hAnsi="Calibri" w:cs="Calibri"/>
          <w:b/>
          <w:color w:val="767171" w:themeColor="background2" w:themeShade="80"/>
          <w:sz w:val="26"/>
          <w:szCs w:val="26"/>
        </w:rPr>
        <w:t xml:space="preserve"> 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w:t>
      </w:r>
    </w:p>
    <w:p w:rsidR="001A77ED" w:rsidRDefault="001A77ED" w:rsidP="001A77ED">
      <w:pPr>
        <w:jc w:val="both"/>
        <w:rPr>
          <w:rFonts w:ascii="Calibri" w:hAnsi="Calibri" w:cs="Calibri"/>
          <w:color w:val="767171" w:themeColor="background2" w:themeShade="80"/>
          <w:sz w:val="26"/>
          <w:szCs w:val="26"/>
        </w:rPr>
      </w:pPr>
    </w:p>
    <w:p w:rsidR="001A77ED" w:rsidRDefault="001A77ED" w:rsidP="001A77ED">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A77ED" w:rsidRDefault="001A77ED" w:rsidP="001A77ED">
      <w:pPr>
        <w:pStyle w:val="Textoindependiente"/>
        <w:rPr>
          <w:rFonts w:ascii="Calibri" w:hAnsi="Calibri" w:cs="Arial"/>
          <w:color w:val="767171" w:themeColor="background2" w:themeShade="80"/>
          <w:sz w:val="20"/>
          <w:szCs w:val="27"/>
          <w:lang w:val="es-ES"/>
        </w:rPr>
      </w:pPr>
    </w:p>
    <w:p w:rsidR="001A77ED" w:rsidRDefault="001A77ED" w:rsidP="001A77ED">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lastRenderedPageBreak/>
        <w:t xml:space="preserve">Sirve de apoyo a lo anterior la tesis de jurisprudencia que a la letra señala: </w:t>
      </w:r>
    </w:p>
    <w:p w:rsidR="001A77ED" w:rsidRDefault="001A77ED" w:rsidP="001A77ED">
      <w:pPr>
        <w:pStyle w:val="Textoindependiente"/>
        <w:rPr>
          <w:rFonts w:ascii="Calibri" w:hAnsi="Calibri"/>
          <w:b/>
          <w:bCs/>
          <w:i/>
          <w:iCs/>
          <w:color w:val="767171" w:themeColor="background2" w:themeShade="80"/>
          <w:sz w:val="26"/>
          <w:szCs w:val="27"/>
        </w:rPr>
      </w:pPr>
    </w:p>
    <w:p w:rsidR="001A77ED" w:rsidRDefault="001A77ED" w:rsidP="001A77ED">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1A77ED" w:rsidRDefault="001A77ED" w:rsidP="001A77ED">
      <w:pPr>
        <w:pStyle w:val="Textoindependiente"/>
        <w:ind w:firstLine="708"/>
        <w:rPr>
          <w:rFonts w:ascii="Calibri" w:hAnsi="Calibri"/>
          <w:b/>
          <w:i/>
          <w:color w:val="767171" w:themeColor="background2" w:themeShade="80"/>
          <w:sz w:val="26"/>
        </w:rPr>
      </w:pPr>
    </w:p>
    <w:p w:rsidR="001A77ED" w:rsidRDefault="001A77ED" w:rsidP="001A77ED">
      <w:pPr>
        <w:pStyle w:val="Textoindependiente"/>
        <w:ind w:firstLine="708"/>
        <w:rPr>
          <w:rFonts w:ascii="Calibri" w:hAnsi="Calibri"/>
          <w:color w:val="767171" w:themeColor="background2" w:themeShade="80"/>
          <w:sz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1A77ED" w:rsidRDefault="001A77ED" w:rsidP="001A77ED">
      <w:pPr>
        <w:pStyle w:val="Textoindependiente"/>
        <w:ind w:firstLine="708"/>
        <w:rPr>
          <w:rFonts w:ascii="Calibri" w:hAnsi="Calibri" w:cs="Arial"/>
          <w:color w:val="767171" w:themeColor="background2" w:themeShade="80"/>
          <w:sz w:val="26"/>
          <w:szCs w:val="27"/>
        </w:rPr>
      </w:pPr>
    </w:p>
    <w:p w:rsidR="001A77ED" w:rsidRDefault="001A77ED" w:rsidP="001A77ED">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1A77ED" w:rsidRDefault="001A77ED" w:rsidP="001A77ED">
      <w:pPr>
        <w:pStyle w:val="Textoindependiente"/>
        <w:ind w:firstLine="708"/>
        <w:rPr>
          <w:rFonts w:ascii="Calibri" w:hAnsi="Calibri"/>
          <w:color w:val="767171" w:themeColor="background2" w:themeShade="80"/>
          <w:sz w:val="20"/>
          <w:szCs w:val="20"/>
          <w:lang w:val="es-ES"/>
        </w:rPr>
      </w:pPr>
    </w:p>
    <w:p w:rsidR="001A77ED" w:rsidRDefault="001A77ED" w:rsidP="001A77ED">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1A77ED" w:rsidRDefault="001A77ED" w:rsidP="001A77ED">
      <w:pPr>
        <w:pStyle w:val="Textoindependiente"/>
        <w:ind w:firstLine="708"/>
        <w:rPr>
          <w:rFonts w:ascii="Calibri" w:hAnsi="Calibri" w:cs="Calibri"/>
          <w:color w:val="767171" w:themeColor="background2" w:themeShade="80"/>
          <w:sz w:val="20"/>
          <w:szCs w:val="20"/>
        </w:rPr>
      </w:pPr>
    </w:p>
    <w:p w:rsidR="001A77ED" w:rsidRDefault="001A77ED" w:rsidP="001A77ED">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1A77ED" w:rsidRDefault="001A77ED" w:rsidP="001A77ED">
      <w:pPr>
        <w:pStyle w:val="Textoindependiente"/>
        <w:rPr>
          <w:rFonts w:ascii="Calibri" w:hAnsi="Calibri" w:cs="Calibri"/>
          <w:color w:val="767171" w:themeColor="background2" w:themeShade="80"/>
          <w:sz w:val="20"/>
          <w:szCs w:val="20"/>
        </w:rPr>
      </w:pPr>
    </w:p>
    <w:p w:rsidR="001A77ED" w:rsidRDefault="001A77ED" w:rsidP="001A77ED">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1A77ED" w:rsidRDefault="001A77ED" w:rsidP="001A77ED">
      <w:pPr>
        <w:pStyle w:val="Textoindependiente"/>
        <w:ind w:firstLine="708"/>
        <w:rPr>
          <w:rFonts w:ascii="Calibri" w:hAnsi="Calibri" w:cs="Calibri"/>
          <w:color w:val="767171" w:themeColor="background2" w:themeShade="80"/>
          <w:sz w:val="20"/>
          <w:szCs w:val="20"/>
        </w:rPr>
      </w:pPr>
    </w:p>
    <w:p w:rsidR="001A77ED" w:rsidRDefault="001A77ED" w:rsidP="001A77ED">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1A77ED" w:rsidRDefault="001A77ED" w:rsidP="001A77ED">
      <w:pPr>
        <w:pStyle w:val="Textoindependiente"/>
        <w:ind w:firstLine="708"/>
        <w:rPr>
          <w:rFonts w:ascii="Calibri" w:hAnsi="Calibri" w:cs="Calibri"/>
          <w:bCs/>
          <w:iCs/>
          <w:color w:val="767171" w:themeColor="background2" w:themeShade="80"/>
          <w:sz w:val="20"/>
          <w:szCs w:val="20"/>
        </w:rPr>
      </w:pPr>
    </w:p>
    <w:p w:rsidR="001A77ED" w:rsidRDefault="001A77ED" w:rsidP="001A77ED">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358533 (tres-cinco-ocho-cinco-tres-tres), </w:t>
      </w:r>
      <w:r>
        <w:rPr>
          <w:rFonts w:ascii="Calibri" w:hAnsi="Calibri" w:cs="Calibri"/>
          <w:color w:val="767171" w:themeColor="background2" w:themeShade="80"/>
          <w:sz w:val="26"/>
          <w:szCs w:val="26"/>
        </w:rPr>
        <w:t xml:space="preserve">de fecha </w:t>
      </w:r>
      <w:r>
        <w:rPr>
          <w:rFonts w:ascii="Calibri" w:hAnsi="Calibri" w:cs="Calibri"/>
          <w:b/>
          <w:color w:val="767171" w:themeColor="background2" w:themeShade="80"/>
          <w:sz w:val="26"/>
          <w:szCs w:val="26"/>
        </w:rPr>
        <w:t>25</w:t>
      </w:r>
      <w:r>
        <w:rPr>
          <w:rFonts w:ascii="Calibri" w:hAnsi="Calibri" w:cs="Calibri"/>
          <w:color w:val="767171" w:themeColor="background2" w:themeShade="80"/>
          <w:sz w:val="26"/>
          <w:szCs w:val="26"/>
        </w:rPr>
        <w:t xml:space="preserve"> veinticinco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w:t>
      </w:r>
    </w:p>
    <w:p w:rsidR="001A77ED" w:rsidRDefault="001A77ED" w:rsidP="001A77ED">
      <w:pPr>
        <w:ind w:firstLine="708"/>
        <w:jc w:val="both"/>
        <w:rPr>
          <w:rFonts w:ascii="Calibri" w:hAnsi="Calibri" w:cs="Calibri"/>
          <w:b/>
          <w:bCs/>
          <w:i/>
          <w:iCs/>
          <w:color w:val="767171" w:themeColor="background2" w:themeShade="80"/>
          <w:sz w:val="20"/>
          <w:szCs w:val="20"/>
        </w:rPr>
      </w:pPr>
    </w:p>
    <w:p w:rsidR="001A77ED" w:rsidRDefault="001A77ED" w:rsidP="001A77ED">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1A77ED" w:rsidRDefault="001A77ED" w:rsidP="001A77ED">
      <w:pPr>
        <w:ind w:firstLine="708"/>
        <w:jc w:val="both"/>
        <w:rPr>
          <w:rFonts w:ascii="Calibri" w:hAnsi="Calibri" w:cs="Calibri"/>
          <w:b/>
          <w:color w:val="767171" w:themeColor="background2" w:themeShade="80"/>
          <w:sz w:val="20"/>
          <w:szCs w:val="20"/>
        </w:rPr>
      </w:pPr>
    </w:p>
    <w:p w:rsidR="001A77ED" w:rsidRDefault="001A77ED" w:rsidP="001A77ED">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0336/2doJAM/2017-JN</w:t>
      </w:r>
    </w:p>
    <w:p w:rsidR="001A77ED" w:rsidRDefault="001A77ED" w:rsidP="001A77ED">
      <w:pPr>
        <w:ind w:firstLine="708"/>
        <w:jc w:val="both"/>
        <w:rPr>
          <w:rFonts w:ascii="Calibri" w:hAnsi="Calibri" w:cs="Calibri"/>
          <w:b/>
          <w:color w:val="767171" w:themeColor="background2" w:themeShade="80"/>
          <w:sz w:val="26"/>
          <w:szCs w:val="26"/>
        </w:rPr>
      </w:pPr>
    </w:p>
    <w:p w:rsidR="001A77ED" w:rsidRDefault="001A77ED" w:rsidP="001A77ED">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1A77ED" w:rsidRDefault="001A77ED" w:rsidP="001A77ED">
      <w:pPr>
        <w:jc w:val="both"/>
        <w:rPr>
          <w:rFonts w:ascii="Calibri" w:hAnsi="Calibri" w:cs="Calibri"/>
          <w:color w:val="767171" w:themeColor="background2" w:themeShade="80"/>
          <w:sz w:val="20"/>
          <w:szCs w:val="20"/>
        </w:rPr>
      </w:pPr>
    </w:p>
    <w:p w:rsidR="001A77ED" w:rsidRDefault="001A77ED" w:rsidP="001A77ED">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1A77ED" w:rsidRDefault="001A77ED" w:rsidP="001A77ED">
      <w:pPr>
        <w:pStyle w:val="Textoindependiente"/>
        <w:rPr>
          <w:rFonts w:ascii="Calibri" w:hAnsi="Calibri" w:cs="Calibri"/>
          <w:color w:val="767171" w:themeColor="background2" w:themeShade="80"/>
          <w:sz w:val="20"/>
          <w:szCs w:val="20"/>
        </w:rPr>
      </w:pPr>
    </w:p>
    <w:p w:rsidR="001A77ED" w:rsidRDefault="001A77ED" w:rsidP="001A77ED">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1A77ED" w:rsidRDefault="001A77ED" w:rsidP="001A77ED">
      <w:pPr>
        <w:pStyle w:val="Textoindependiente"/>
        <w:rPr>
          <w:rFonts w:ascii="Calibri" w:hAnsi="Calibri" w:cs="Calibri"/>
          <w:color w:val="767171" w:themeColor="background2" w:themeShade="80"/>
          <w:sz w:val="20"/>
          <w:szCs w:val="20"/>
        </w:rPr>
      </w:pPr>
    </w:p>
    <w:p w:rsidR="001A77ED" w:rsidRDefault="001A77ED" w:rsidP="001A77ED">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1A77ED" w:rsidRDefault="001A77ED" w:rsidP="001A77ED">
      <w:pPr>
        <w:pStyle w:val="Textoindependiente"/>
        <w:ind w:firstLine="708"/>
        <w:rPr>
          <w:lang w:val="es-ES"/>
        </w:rPr>
      </w:pPr>
      <w:bookmarkStart w:id="0" w:name="_GoBack"/>
      <w:bookmarkEnd w:id="0"/>
    </w:p>
    <w:p w:rsidR="001A77ED" w:rsidRDefault="001A77ED" w:rsidP="001A77ED">
      <w:pPr>
        <w:pStyle w:val="Textoindependiente"/>
        <w:ind w:firstLine="708"/>
        <w:rPr>
          <w:lang w:val="es-ES"/>
        </w:rPr>
      </w:pPr>
    </w:p>
    <w:p w:rsidR="001A77ED" w:rsidRDefault="001A77ED" w:rsidP="001A77ED">
      <w:pPr>
        <w:pStyle w:val="Textoindependiente"/>
        <w:ind w:firstLine="708"/>
        <w:rPr>
          <w:lang w:val="es-ES"/>
        </w:rPr>
      </w:pPr>
    </w:p>
    <w:p w:rsidR="001A77ED" w:rsidRDefault="001A77ED" w:rsidP="001A77ED">
      <w:pPr>
        <w:pStyle w:val="Textoindependiente"/>
        <w:ind w:firstLine="708"/>
        <w:rPr>
          <w:lang w:val="es-ES"/>
        </w:rPr>
      </w:pPr>
    </w:p>
    <w:p w:rsidR="001A77ED" w:rsidRDefault="001A77ED" w:rsidP="001A77ED">
      <w:pPr>
        <w:pStyle w:val="Textoindependiente"/>
        <w:ind w:firstLine="708"/>
        <w:rPr>
          <w:lang w:val="es-ES"/>
        </w:rPr>
      </w:pPr>
    </w:p>
    <w:p w:rsidR="001A77ED" w:rsidRDefault="001A77ED" w:rsidP="001A77ED">
      <w:pPr>
        <w:pStyle w:val="Textoindependiente"/>
        <w:ind w:firstLine="708"/>
        <w:rPr>
          <w:lang w:val="es-ES"/>
        </w:rPr>
      </w:pPr>
    </w:p>
    <w:p w:rsidR="001A77ED" w:rsidRDefault="001A77ED" w:rsidP="001A77ED">
      <w:pPr>
        <w:pStyle w:val="Textoindependiente"/>
        <w:ind w:firstLine="708"/>
        <w:rPr>
          <w:lang w:val="es-ES"/>
        </w:rPr>
      </w:pPr>
    </w:p>
    <w:p w:rsidR="001A77ED" w:rsidRDefault="001A77ED" w:rsidP="001A77ED">
      <w:pPr>
        <w:pStyle w:val="Textoindependiente"/>
        <w:ind w:firstLine="708"/>
        <w:rPr>
          <w:rFonts w:asciiTheme="minorHAnsi" w:hAnsiTheme="minorHAnsi"/>
          <w:b/>
          <w:iCs/>
          <w:color w:val="767171" w:themeColor="background2" w:themeShade="80"/>
        </w:rPr>
      </w:pPr>
      <w:r>
        <w:rPr>
          <w:rFonts w:asciiTheme="minorHAnsi" w:hAnsiTheme="minorHAnsi"/>
          <w:b/>
          <w:iCs/>
          <w:color w:val="767171" w:themeColor="background2" w:themeShade="80"/>
        </w:rPr>
        <w:t xml:space="preserve">LA PRESENTE FOJA FORMA PARTE DE LA SENTENCIA DICTADA EL DÍA 01 DE AGOSTO DEL AÑO 2017 DOS MIL DIECISIETE, EN EL PROCESO ADMINISTRATIVO CON NÚMERO DE EXPEDIENTE </w:t>
      </w:r>
      <w:r>
        <w:rPr>
          <w:rFonts w:ascii="Calibri" w:hAnsi="Calibri" w:cs="Calibri"/>
          <w:b/>
          <w:color w:val="767171" w:themeColor="background2" w:themeShade="80"/>
          <w:sz w:val="26"/>
          <w:szCs w:val="26"/>
        </w:rPr>
        <w:t>0336</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r>
        <w:rPr>
          <w:rFonts w:asciiTheme="minorHAnsi" w:hAnsiTheme="minorHAnsi"/>
          <w:b/>
          <w:iCs/>
          <w:color w:val="767171" w:themeColor="background2" w:themeShade="80"/>
        </w:rPr>
        <w:t xml:space="preserve">. . . . . . . . . . . . . . . . . . . . . . . . . . . . . . . </w:t>
      </w:r>
    </w:p>
    <w:p w:rsidR="00B237B6" w:rsidRPr="001A77ED" w:rsidRDefault="00B237B6">
      <w:pPr>
        <w:rPr>
          <w:lang w:val="es-MX"/>
        </w:rPr>
      </w:pPr>
    </w:p>
    <w:sectPr w:rsidR="00B237B6" w:rsidRPr="001A77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ED"/>
    <w:rsid w:val="001A77ED"/>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A1462-43AD-4EAF-B2EA-C40390F0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E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77ED"/>
    <w:pPr>
      <w:jc w:val="both"/>
    </w:pPr>
    <w:rPr>
      <w:lang w:val="es-MX"/>
    </w:rPr>
  </w:style>
  <w:style w:type="character" w:customStyle="1" w:styleId="TextoindependienteCar">
    <w:name w:val="Texto independiente Car"/>
    <w:basedOn w:val="Fuentedeprrafopredeter"/>
    <w:link w:val="Textoindependiente"/>
    <w:rsid w:val="001A77E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1A77E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A77E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3334</Words>
  <Characters>18342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2017-09-01T17:21:00Z</dcterms:created>
  <dcterms:modified xsi:type="dcterms:W3CDTF">2017-09-01T17:22:00Z</dcterms:modified>
</cp:coreProperties>
</file>